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CE30C">
      <w:pPr>
        <w:spacing w:line="560" w:lineRule="exact"/>
        <w:rPr>
          <w:rFonts w:ascii="黑体" w:hAnsi="黑体" w:eastAsia="黑体" w:cstheme="majorEastAsia"/>
          <w:color w:val="333333"/>
          <w:sz w:val="32"/>
          <w:szCs w:val="32"/>
          <w:shd w:val="clear" w:color="auto" w:fill="FFFFFF"/>
        </w:rPr>
      </w:pPr>
      <w:r>
        <w:rPr>
          <w:rFonts w:hint="eastAsia" w:ascii="黑体" w:hAnsi="黑体" w:eastAsia="黑体" w:cstheme="majorEastAsia"/>
          <w:color w:val="333333"/>
          <w:sz w:val="32"/>
          <w:szCs w:val="32"/>
          <w:shd w:val="clear" w:color="auto" w:fill="FFFFFF"/>
        </w:rPr>
        <w:t>附件2</w:t>
      </w:r>
    </w:p>
    <w:p w14:paraId="4C27EE3A">
      <w:pPr>
        <w:spacing w:line="560" w:lineRule="exact"/>
        <w:ind w:firstLine="720"/>
        <w:jc w:val="center"/>
        <w:rPr>
          <w:rFonts w:ascii="方正小标宋_GBK" w:hAnsi="方正小标宋_GBK" w:eastAsia="方正小标宋_GBK" w:cs="方正小标宋_GBK"/>
          <w:color w:val="000000"/>
          <w:sz w:val="36"/>
          <w:szCs w:val="36"/>
        </w:rPr>
      </w:pPr>
    </w:p>
    <w:p w14:paraId="2021BD67">
      <w:pPr>
        <w:spacing w:line="56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工程建设项目招标代理机构信息</w:t>
      </w:r>
    </w:p>
    <w:p w14:paraId="04ED3BDF">
      <w:pPr>
        <w:spacing w:line="560" w:lineRule="exact"/>
        <w:jc w:val="center"/>
        <w:rPr>
          <w:rFonts w:ascii="方正小标宋_GBK" w:hAnsi="方正小标宋简体" w:eastAsia="方正小标宋_GBK" w:cs="方正小标宋简体"/>
          <w:sz w:val="44"/>
          <w:szCs w:val="44"/>
        </w:rPr>
      </w:pPr>
      <w:r>
        <w:rPr>
          <w:rFonts w:hint="eastAsia" w:ascii="方正小标宋_GBK" w:hAnsi="方正小标宋_GBK" w:eastAsia="方正小标宋_GBK" w:cs="方正小标宋_GBK"/>
          <w:color w:val="000000"/>
          <w:sz w:val="44"/>
          <w:szCs w:val="44"/>
        </w:rPr>
        <w:t>登记</w:t>
      </w:r>
      <w:r>
        <w:rPr>
          <w:rFonts w:hint="eastAsia" w:ascii="方正小标宋_GBK" w:hAnsi="方正小标宋简体" w:eastAsia="方正小标宋_GBK" w:cs="方正小标宋简体"/>
          <w:sz w:val="44"/>
          <w:szCs w:val="44"/>
        </w:rPr>
        <w:t>操作手册</w:t>
      </w:r>
    </w:p>
    <w:p w14:paraId="0A5A8CBD">
      <w:pPr>
        <w:spacing w:line="560" w:lineRule="exact"/>
        <w:jc w:val="center"/>
        <w:rPr>
          <w:rFonts w:ascii="方正小标宋_GBK" w:hAnsi="方正小标宋_GBK" w:eastAsia="方正小标宋_GBK" w:cs="方正小标宋_GBK"/>
          <w:color w:val="000000"/>
          <w:sz w:val="44"/>
          <w:szCs w:val="44"/>
        </w:rPr>
      </w:pPr>
    </w:p>
    <w:p w14:paraId="69780E9C">
      <w:pPr>
        <w:spacing w:line="560" w:lineRule="exact"/>
        <w:ind w:firstLine="640" w:firstLineChars="200"/>
        <w:rPr>
          <w:rFonts w:ascii="黑体" w:hAnsi="黑体" w:eastAsia="黑体" w:cstheme="minorEastAsia"/>
          <w:bCs/>
          <w:sz w:val="32"/>
          <w:szCs w:val="32"/>
        </w:rPr>
      </w:pPr>
      <w:r>
        <w:rPr>
          <w:rFonts w:hint="eastAsia" w:ascii="黑体" w:hAnsi="黑体" w:eastAsia="黑体" w:cstheme="minorEastAsia"/>
          <w:bCs/>
          <w:sz w:val="32"/>
          <w:szCs w:val="32"/>
        </w:rPr>
        <w:t>一、登录</w:t>
      </w:r>
    </w:p>
    <w:p w14:paraId="25C80C58">
      <w:pPr>
        <w:spacing w:line="560" w:lineRule="exact"/>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企业登录https://js.shaanxi.gov.cn/使用浏览器打开陕西省住建厅官网，在政务服务栏目里点击“业务办理”，再点击“陕西省建筑市场监管与诚信一体化管理系统”，点击“企业登录”，使用“法人登录”验证成功后即可进入系统。</w:t>
      </w:r>
    </w:p>
    <w:p w14:paraId="0C005903">
      <w:pPr>
        <w:ind w:firstLine="640" w:firstLineChars="200"/>
        <w:jc w:val="center"/>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9865" cy="2377440"/>
            <wp:effectExtent l="0" t="0" r="698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9865" cy="2377440"/>
                    </a:xfrm>
                    <a:prstGeom prst="rect">
                      <a:avLst/>
                    </a:prstGeom>
                    <a:noFill/>
                    <a:ln>
                      <a:noFill/>
                    </a:ln>
                  </pic:spPr>
                </pic:pic>
              </a:graphicData>
            </a:graphic>
          </wp:inline>
        </w:drawing>
      </w:r>
    </w:p>
    <w:p w14:paraId="662B9400">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73040" cy="2152015"/>
            <wp:effectExtent l="0" t="0" r="3810" b="6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
                    <a:stretch>
                      <a:fillRect/>
                    </a:stretch>
                  </pic:blipFill>
                  <pic:spPr>
                    <a:xfrm>
                      <a:off x="0" y="0"/>
                      <a:ext cx="5273040" cy="2152015"/>
                    </a:xfrm>
                    <a:prstGeom prst="rect">
                      <a:avLst/>
                    </a:prstGeom>
                    <a:noFill/>
                    <a:ln>
                      <a:noFill/>
                    </a:ln>
                  </pic:spPr>
                </pic:pic>
              </a:graphicData>
            </a:graphic>
          </wp:inline>
        </w:drawing>
      </w:r>
    </w:p>
    <w:p w14:paraId="71EAAE15">
      <w:pPr>
        <w:ind w:firstLine="640" w:firstLineChars="200"/>
        <w:rPr>
          <w:rFonts w:ascii="黑体" w:hAnsi="黑体" w:eastAsia="黑体" w:cstheme="minorEastAsia"/>
          <w:bCs/>
          <w:sz w:val="32"/>
          <w:szCs w:val="32"/>
        </w:rPr>
      </w:pPr>
      <w:r>
        <w:rPr>
          <w:rFonts w:hint="eastAsia" w:ascii="黑体" w:hAnsi="黑体" w:eastAsia="黑体" w:cstheme="minorEastAsia"/>
          <w:bCs/>
          <w:sz w:val="32"/>
          <w:szCs w:val="32"/>
        </w:rPr>
        <w:t>二、机构信息登记</w:t>
      </w:r>
    </w:p>
    <w:p w14:paraId="0CBADF3D">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1.用法人账号登录陕西省建筑市场监管与诚信一体化平台企业端后，点击招标代理机构登记菜单，如下图：</w:t>
      </w:r>
    </w:p>
    <w:p w14:paraId="5CDA0450">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7325" cy="2847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847632"/>
                    </a:xfrm>
                    <a:prstGeom prst="rect">
                      <a:avLst/>
                    </a:prstGeom>
                    <a:noFill/>
                    <a:ln>
                      <a:noFill/>
                    </a:ln>
                  </pic:spPr>
                </pic:pic>
              </a:graphicData>
            </a:graphic>
          </wp:inline>
        </w:drawing>
      </w:r>
    </w:p>
    <w:p w14:paraId="046A9162">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2.点击新增招标代理信息按钮，输入机构相关信息，如下图：</w:t>
      </w:r>
    </w:p>
    <w:p w14:paraId="343905C9">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76850" cy="27146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1770" cy="2712012"/>
                    </a:xfrm>
                    <a:prstGeom prst="rect">
                      <a:avLst/>
                    </a:prstGeom>
                    <a:noFill/>
                    <a:ln>
                      <a:noFill/>
                    </a:ln>
                  </pic:spPr>
                </pic:pic>
              </a:graphicData>
            </a:graphic>
          </wp:inline>
        </w:drawing>
      </w:r>
    </w:p>
    <w:p w14:paraId="745C64CC">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3.填写机构相关信息后，点击保存，会在列表中展示，可点击编辑再次进行修改，如下图：</w:t>
      </w:r>
    </w:p>
    <w:p w14:paraId="7CFA52BF">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8595" cy="2232660"/>
            <wp:effectExtent l="0" t="0" r="825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8595" cy="2232660"/>
                    </a:xfrm>
                    <a:prstGeom prst="rect">
                      <a:avLst/>
                    </a:prstGeom>
                    <a:noFill/>
                    <a:ln>
                      <a:noFill/>
                    </a:ln>
                  </pic:spPr>
                </pic:pic>
              </a:graphicData>
            </a:graphic>
          </wp:inline>
        </w:drawing>
      </w:r>
    </w:p>
    <w:p w14:paraId="3C9411D2">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2880" cy="2208530"/>
            <wp:effectExtent l="0" t="0" r="139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2880" cy="2208530"/>
                    </a:xfrm>
                    <a:prstGeom prst="rect">
                      <a:avLst/>
                    </a:prstGeom>
                    <a:noFill/>
                    <a:ln>
                      <a:noFill/>
                    </a:ln>
                  </pic:spPr>
                </pic:pic>
              </a:graphicData>
            </a:graphic>
          </wp:inline>
        </w:drawing>
      </w:r>
    </w:p>
    <w:p w14:paraId="16697A97">
      <w:pPr>
        <w:ind w:firstLine="640" w:firstLineChars="200"/>
        <w:rPr>
          <w:rFonts w:ascii="仿宋_GB2312" w:eastAsia="仿宋_GB2312" w:hAnsiTheme="minorEastAsia" w:cstheme="minorEastAsia"/>
          <w:sz w:val="32"/>
          <w:szCs w:val="32"/>
        </w:rPr>
      </w:pPr>
      <w:r>
        <w:rPr>
          <w:rFonts w:hint="eastAsia" w:ascii="仿宋_GB2312" w:eastAsia="仿宋_GB2312" w:hAnsiTheme="minorEastAsia" w:cstheme="minorEastAsia"/>
          <w:sz w:val="32"/>
          <w:szCs w:val="32"/>
        </w:rPr>
        <w:t>4.填写机构相关信息后，确保信息无错误点击登记，机构数据会直接推送至住建部，如下图：</w:t>
      </w:r>
    </w:p>
    <w:p w14:paraId="41F8F0F4">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7325" cy="24098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8595" cy="2410406"/>
                    </a:xfrm>
                    <a:prstGeom prst="rect">
                      <a:avLst/>
                    </a:prstGeom>
                    <a:noFill/>
                    <a:ln>
                      <a:noFill/>
                    </a:ln>
                  </pic:spPr>
                </pic:pic>
              </a:graphicData>
            </a:graphic>
          </wp:inline>
        </w:drawing>
      </w:r>
    </w:p>
    <w:p w14:paraId="7C1D39F9">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4914900" cy="262890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914900" cy="2628900"/>
                    </a:xfrm>
                    <a:prstGeom prst="rect">
                      <a:avLst/>
                    </a:prstGeom>
                    <a:noFill/>
                    <a:ln>
                      <a:noFill/>
                    </a:ln>
                  </pic:spPr>
                </pic:pic>
              </a:graphicData>
            </a:graphic>
          </wp:inline>
        </w:drawing>
      </w:r>
    </w:p>
    <w:p w14:paraId="044DB466">
      <w:pPr>
        <w:ind w:firstLine="640" w:firstLineChars="200"/>
        <w:rPr>
          <w:rFonts w:ascii="黑体" w:hAnsi="黑体" w:eastAsia="黑体" w:cstheme="minorEastAsia"/>
          <w:bCs/>
          <w:sz w:val="32"/>
          <w:szCs w:val="32"/>
        </w:rPr>
      </w:pPr>
      <w:r>
        <w:rPr>
          <w:rFonts w:hint="eastAsia" w:ascii="黑体" w:hAnsi="黑体" w:eastAsia="黑体" w:cstheme="minorEastAsia"/>
          <w:bCs/>
          <w:sz w:val="32"/>
          <w:szCs w:val="32"/>
        </w:rPr>
        <w:t>三、机构信息变更</w:t>
      </w:r>
    </w:p>
    <w:p w14:paraId="19DFD450">
      <w:pPr>
        <w:ind w:firstLine="640" w:firstLineChars="200"/>
        <w:rPr>
          <w:rFonts w:ascii="仿宋_GB2312" w:eastAsia="仿宋_GB2312" w:hAnsiTheme="minorEastAsia" w:cstheme="minorEastAsia"/>
          <w:sz w:val="32"/>
          <w:szCs w:val="32"/>
        </w:rPr>
      </w:pPr>
      <w:r>
        <w:rPr>
          <w:rFonts w:hint="eastAsia" w:ascii="仿宋_GB2312" w:hAnsi="CESI仿宋-GB2312" w:eastAsia="仿宋_GB2312" w:cs="CESI仿宋-GB2312"/>
          <w:sz w:val="32"/>
          <w:szCs w:val="32"/>
        </w:rPr>
        <w:t>出现机构信息变更时，进入系统，点击列表中变更按钮，进行相应信息填写，并确认无误后，点击变更按钮，进行数据上报</w:t>
      </w:r>
      <w:r>
        <w:rPr>
          <w:rFonts w:hint="eastAsia" w:ascii="仿宋_GB2312" w:eastAsia="仿宋_GB2312" w:hAnsiTheme="minorEastAsia" w:cstheme="minorEastAsia"/>
          <w:sz w:val="32"/>
          <w:szCs w:val="32"/>
        </w:rPr>
        <w:t>。</w:t>
      </w:r>
    </w:p>
    <w:p w14:paraId="5F7826C2">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4972050" cy="21336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974448" cy="2134629"/>
                    </a:xfrm>
                    <a:prstGeom prst="rect">
                      <a:avLst/>
                    </a:prstGeom>
                    <a:noFill/>
                    <a:ln>
                      <a:noFill/>
                    </a:ln>
                  </pic:spPr>
                </pic:pic>
              </a:graphicData>
            </a:graphic>
          </wp:inline>
        </w:drawing>
      </w:r>
    </w:p>
    <w:p w14:paraId="334D6C10">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095875" cy="2105025"/>
            <wp:effectExtent l="0" t="0" r="952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099562" cy="2106548"/>
                    </a:xfrm>
                    <a:prstGeom prst="rect">
                      <a:avLst/>
                    </a:prstGeom>
                    <a:noFill/>
                    <a:ln>
                      <a:noFill/>
                    </a:ln>
                  </pic:spPr>
                </pic:pic>
              </a:graphicData>
            </a:graphic>
          </wp:inline>
        </w:drawing>
      </w:r>
    </w:p>
    <w:p w14:paraId="06F3FB31">
      <w:pPr>
        <w:ind w:firstLine="640" w:firstLineChars="200"/>
        <w:rPr>
          <w:rFonts w:ascii="黑体" w:hAnsi="黑体" w:eastAsia="黑体" w:cstheme="minorEastAsia"/>
          <w:bCs/>
          <w:sz w:val="32"/>
          <w:szCs w:val="32"/>
        </w:rPr>
      </w:pPr>
      <w:r>
        <w:rPr>
          <w:rFonts w:hint="eastAsia" w:ascii="黑体" w:hAnsi="黑体" w:eastAsia="黑体" w:cstheme="minorEastAsia"/>
          <w:bCs/>
          <w:sz w:val="32"/>
          <w:szCs w:val="32"/>
        </w:rPr>
        <w:t>四、机构信息注销</w:t>
      </w:r>
    </w:p>
    <w:p w14:paraId="27A3ED9F">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出现机构信息注销时，进入系统，点击列表中变更按钮，点击注销按钮，进行数据上报。</w:t>
      </w:r>
    </w:p>
    <w:p w14:paraId="5E72577C">
      <w:pPr>
        <w:ind w:firstLine="640" w:firstLineChars="200"/>
        <w:jc w:val="right"/>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095875" cy="2933700"/>
            <wp:effectExtent l="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103596" cy="2938145"/>
                    </a:xfrm>
                    <a:prstGeom prst="rect">
                      <a:avLst/>
                    </a:prstGeom>
                    <a:noFill/>
                    <a:ln>
                      <a:noFill/>
                    </a:ln>
                  </pic:spPr>
                </pic:pic>
              </a:graphicData>
            </a:graphic>
          </wp:inline>
        </w:drawing>
      </w:r>
      <w:r>
        <w:rPr>
          <w:rFonts w:hint="eastAsia" w:asciiTheme="minorEastAsia" w:hAnsiTheme="minorEastAsia" w:cstheme="minorEastAsia"/>
          <w:sz w:val="32"/>
          <w:szCs w:val="32"/>
        </w:rPr>
        <w:drawing>
          <wp:inline distT="0" distB="0" distL="114300" distR="114300">
            <wp:extent cx="5162550" cy="283845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5166388" cy="2840560"/>
                    </a:xfrm>
                    <a:prstGeom prst="rect">
                      <a:avLst/>
                    </a:prstGeom>
                    <a:noFill/>
                    <a:ln>
                      <a:noFill/>
                    </a:ln>
                  </pic:spPr>
                </pic:pic>
              </a:graphicData>
            </a:graphic>
          </wp:inline>
        </w:drawing>
      </w:r>
    </w:p>
    <w:p w14:paraId="4117D8E9">
      <w:pPr>
        <w:ind w:firstLine="640" w:firstLineChars="200"/>
        <w:rPr>
          <w:rFonts w:ascii="黑体" w:hAnsi="黑体" w:eastAsia="黑体" w:cstheme="minorEastAsia"/>
          <w:bCs/>
          <w:sz w:val="32"/>
          <w:szCs w:val="32"/>
        </w:rPr>
      </w:pPr>
      <w:r>
        <w:rPr>
          <w:rFonts w:hint="eastAsia" w:ascii="黑体" w:hAnsi="黑体" w:eastAsia="黑体" w:cstheme="minorEastAsia"/>
          <w:bCs/>
          <w:sz w:val="32"/>
          <w:szCs w:val="32"/>
        </w:rPr>
        <w:t>五、人员信息登记</w:t>
      </w:r>
    </w:p>
    <w:p w14:paraId="7CAAA096">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1.人员信息登记。在机构信息上报后，点击查看按钮，如下图：</w:t>
      </w:r>
    </w:p>
    <w:p w14:paraId="7F06B2A4">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4150" cy="2912745"/>
            <wp:effectExtent l="0" t="0" r="12700" b="190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264150" cy="2912745"/>
                    </a:xfrm>
                    <a:prstGeom prst="rect">
                      <a:avLst/>
                    </a:prstGeom>
                    <a:noFill/>
                    <a:ln>
                      <a:noFill/>
                    </a:ln>
                  </pic:spPr>
                </pic:pic>
              </a:graphicData>
            </a:graphic>
          </wp:inline>
        </w:drawing>
      </w:r>
    </w:p>
    <w:p w14:paraId="57C091ED">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4785" cy="2465070"/>
            <wp:effectExtent l="0" t="0" r="12065" b="1143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5264785" cy="2465070"/>
                    </a:xfrm>
                    <a:prstGeom prst="rect">
                      <a:avLst/>
                    </a:prstGeom>
                    <a:noFill/>
                    <a:ln>
                      <a:noFill/>
                    </a:ln>
                  </pic:spPr>
                </pic:pic>
              </a:graphicData>
            </a:graphic>
          </wp:inline>
        </w:drawing>
      </w:r>
    </w:p>
    <w:p w14:paraId="2A9EFBCB">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2.点击新增从业人员，进行相关信息填写，保存后，可再次进行编辑，如下图：</w:t>
      </w:r>
    </w:p>
    <w:p w14:paraId="22AC8841">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9865" cy="2164715"/>
            <wp:effectExtent l="0" t="0" r="698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5269865" cy="2164715"/>
                    </a:xfrm>
                    <a:prstGeom prst="rect">
                      <a:avLst/>
                    </a:prstGeom>
                    <a:noFill/>
                    <a:ln>
                      <a:noFill/>
                    </a:ln>
                  </pic:spPr>
                </pic:pic>
              </a:graphicData>
            </a:graphic>
          </wp:inline>
        </w:drawing>
      </w:r>
    </w:p>
    <w:p w14:paraId="38EA6B74">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76850" cy="228600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5272405" cy="2284074"/>
                    </a:xfrm>
                    <a:prstGeom prst="rect">
                      <a:avLst/>
                    </a:prstGeom>
                    <a:noFill/>
                    <a:ln>
                      <a:noFill/>
                    </a:ln>
                  </pic:spPr>
                </pic:pic>
              </a:graphicData>
            </a:graphic>
          </wp:inline>
        </w:drawing>
      </w:r>
    </w:p>
    <w:p w14:paraId="3B0700EA">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3.点击新增从业人员，进行相关信息填写，确保信息无误后，也可直接点击登记上报住建部，如下图：</w:t>
      </w:r>
    </w:p>
    <w:p w14:paraId="3E12FFBB">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9865" cy="2478405"/>
            <wp:effectExtent l="0" t="0" r="6985" b="1714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6"/>
                    <a:stretch>
                      <a:fillRect/>
                    </a:stretch>
                  </pic:blipFill>
                  <pic:spPr>
                    <a:xfrm>
                      <a:off x="0" y="0"/>
                      <a:ext cx="5269865" cy="2478405"/>
                    </a:xfrm>
                    <a:prstGeom prst="rect">
                      <a:avLst/>
                    </a:prstGeom>
                    <a:noFill/>
                    <a:ln>
                      <a:noFill/>
                    </a:ln>
                  </pic:spPr>
                </pic:pic>
              </a:graphicData>
            </a:graphic>
          </wp:inline>
        </w:drawing>
      </w:r>
    </w:p>
    <w:p w14:paraId="46E9A156">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6690" cy="2441575"/>
            <wp:effectExtent l="0" t="0" r="10160" b="1587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8"/>
                    <a:stretch>
                      <a:fillRect/>
                    </a:stretch>
                  </pic:blipFill>
                  <pic:spPr>
                    <a:xfrm>
                      <a:off x="0" y="0"/>
                      <a:ext cx="5266690" cy="2441575"/>
                    </a:xfrm>
                    <a:prstGeom prst="rect">
                      <a:avLst/>
                    </a:prstGeom>
                    <a:noFill/>
                    <a:ln>
                      <a:noFill/>
                    </a:ln>
                  </pic:spPr>
                </pic:pic>
              </a:graphicData>
            </a:graphic>
          </wp:inline>
        </w:drawing>
      </w:r>
    </w:p>
    <w:p w14:paraId="78A902F4">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4.人员变更，点击人员列表变更按钮，如下图：</w:t>
      </w:r>
    </w:p>
    <w:p w14:paraId="568AA2D7">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76215" cy="2133600"/>
            <wp:effectExtent l="0" t="0" r="635"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9"/>
                    <a:stretch>
                      <a:fillRect/>
                    </a:stretch>
                  </pic:blipFill>
                  <pic:spPr>
                    <a:xfrm>
                      <a:off x="0" y="0"/>
                      <a:ext cx="5271135" cy="2131290"/>
                    </a:xfrm>
                    <a:prstGeom prst="rect">
                      <a:avLst/>
                    </a:prstGeom>
                    <a:noFill/>
                    <a:ln>
                      <a:noFill/>
                    </a:ln>
                  </pic:spPr>
                </pic:pic>
              </a:graphicData>
            </a:graphic>
          </wp:inline>
        </w:drawing>
      </w:r>
    </w:p>
    <w:p w14:paraId="3BC3DC68">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修改对应信息后，点击变更，如下图：</w:t>
      </w:r>
    </w:p>
    <w:p w14:paraId="4B6A993E">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66690" cy="2314575"/>
            <wp:effectExtent l="0" t="0" r="10160" b="952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0"/>
                    <a:stretch>
                      <a:fillRect/>
                    </a:stretch>
                  </pic:blipFill>
                  <pic:spPr>
                    <a:xfrm>
                      <a:off x="0" y="0"/>
                      <a:ext cx="5266055" cy="2314017"/>
                    </a:xfrm>
                    <a:prstGeom prst="rect">
                      <a:avLst/>
                    </a:prstGeom>
                    <a:noFill/>
                    <a:ln>
                      <a:noFill/>
                    </a:ln>
                  </pic:spPr>
                </pic:pic>
              </a:graphicData>
            </a:graphic>
          </wp:inline>
        </w:drawing>
      </w:r>
    </w:p>
    <w:p w14:paraId="179FB513">
      <w:pPr>
        <w:spacing w:line="240" w:lineRule="exact"/>
        <w:ind w:firstLine="640" w:firstLineChars="200"/>
        <w:rPr>
          <w:rFonts w:asciiTheme="minorEastAsia" w:hAnsiTheme="minorEastAsia" w:cstheme="minorEastAsia"/>
          <w:sz w:val="32"/>
          <w:szCs w:val="32"/>
        </w:rPr>
      </w:pPr>
    </w:p>
    <w:p w14:paraId="271944C8">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5.人员注销调离</w:t>
      </w:r>
    </w:p>
    <w:p w14:paraId="4031D740">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点击人员对应的变更按钮，点击新页面变更按钮，如下图：</w:t>
      </w:r>
    </w:p>
    <w:p w14:paraId="47ECA3B6">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76850" cy="1885950"/>
            <wp:effectExtent l="0" t="0" r="0"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5271135" cy="1883907"/>
                    </a:xfrm>
                    <a:prstGeom prst="rect">
                      <a:avLst/>
                    </a:prstGeom>
                    <a:noFill/>
                    <a:ln>
                      <a:noFill/>
                    </a:ln>
                  </pic:spPr>
                </pic:pic>
              </a:graphicData>
            </a:graphic>
          </wp:inline>
        </w:drawing>
      </w:r>
    </w:p>
    <w:p w14:paraId="21B5ECD3">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048250" cy="2074545"/>
            <wp:effectExtent l="0" t="0" r="0" b="190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1"/>
                    <a:stretch>
                      <a:fillRect/>
                    </a:stretch>
                  </pic:blipFill>
                  <pic:spPr>
                    <a:xfrm>
                      <a:off x="0" y="0"/>
                      <a:ext cx="5059224" cy="2079164"/>
                    </a:xfrm>
                    <a:prstGeom prst="rect">
                      <a:avLst/>
                    </a:prstGeom>
                    <a:noFill/>
                    <a:ln>
                      <a:noFill/>
                    </a:ln>
                  </pic:spPr>
                </pic:pic>
              </a:graphicData>
            </a:graphic>
          </wp:inline>
        </w:drawing>
      </w:r>
    </w:p>
    <w:p w14:paraId="20352E5B">
      <w:pPr>
        <w:ind w:firstLine="640" w:firstLineChars="200"/>
        <w:rPr>
          <w:rFonts w:ascii="黑体" w:hAnsi="黑体" w:eastAsia="黑体" w:cstheme="minorEastAsia"/>
          <w:bCs/>
          <w:sz w:val="32"/>
          <w:szCs w:val="32"/>
        </w:rPr>
      </w:pPr>
      <w:r>
        <w:rPr>
          <w:rFonts w:hint="eastAsia" w:ascii="黑体" w:hAnsi="黑体" w:eastAsia="黑体" w:cstheme="minorEastAsia"/>
          <w:bCs/>
          <w:sz w:val="32"/>
          <w:szCs w:val="32"/>
        </w:rPr>
        <w:t>六、信息公示</w:t>
      </w:r>
    </w:p>
    <w:p w14:paraId="6890F83A">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在公示平台企业板块，输入对应企业的全称或统一社会信用代码可查询已入驻陕西省建筑市场监管与诚信一体化系统的招标代理机构。</w:t>
      </w:r>
    </w:p>
    <w:p w14:paraId="72E176A9">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048250" cy="2181225"/>
            <wp:effectExtent l="0" t="0" r="0" b="952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2"/>
                    <a:stretch>
                      <a:fillRect/>
                    </a:stretch>
                  </pic:blipFill>
                  <pic:spPr>
                    <a:xfrm>
                      <a:off x="0" y="0"/>
                      <a:ext cx="5043998" cy="2179388"/>
                    </a:xfrm>
                    <a:prstGeom prst="rect">
                      <a:avLst/>
                    </a:prstGeom>
                    <a:noFill/>
                    <a:ln>
                      <a:noFill/>
                    </a:ln>
                  </pic:spPr>
                </pic:pic>
              </a:graphicData>
            </a:graphic>
          </wp:inline>
        </w:drawing>
      </w:r>
    </w:p>
    <w:p w14:paraId="6C3038B4">
      <w:pPr>
        <w:ind w:firstLine="640" w:firstLineChars="200"/>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点击企业后的查看如下图：</w:t>
      </w:r>
    </w:p>
    <w:p w14:paraId="5F512721">
      <w:pPr>
        <w:ind w:firstLine="640" w:firstLineChars="200"/>
      </w:pPr>
      <w:r>
        <w:rPr>
          <w:rFonts w:hint="eastAsia" w:asciiTheme="minorEastAsia" w:hAnsiTheme="minorEastAsia" w:cstheme="minorEastAsia"/>
          <w:sz w:val="32"/>
          <w:szCs w:val="32"/>
        </w:rPr>
        <w:drawing>
          <wp:inline distT="0" distB="0" distL="114300" distR="114300">
            <wp:extent cx="5133975" cy="1733550"/>
            <wp:effectExtent l="0" t="0" r="9525"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3"/>
                    <a:stretch>
                      <a:fillRect/>
                    </a:stretch>
                  </pic:blipFill>
                  <pic:spPr>
                    <a:xfrm>
                      <a:off x="0" y="0"/>
                      <a:ext cx="5133975" cy="173355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2B8C198-6D24-4A54-9EB3-71B91812D40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0E87DF03-B5A5-4BD1-8037-C0B93788B57B}"/>
  </w:font>
  <w:font w:name="方正小标宋_GBK">
    <w:panose1 w:val="02000000000000000000"/>
    <w:charset w:val="86"/>
    <w:family w:val="script"/>
    <w:pitch w:val="default"/>
    <w:sig w:usb0="A00002BF" w:usb1="38CF7CFA" w:usb2="00082016" w:usb3="00000000" w:csb0="00040001" w:csb1="00000000"/>
    <w:embedRegular r:id="rId3" w:fontKey="{CF41F3E8-E4EC-419A-8A40-D8526A0EBC58}"/>
  </w:font>
  <w:font w:name="方正小标宋简体">
    <w:panose1 w:val="02000000000000000000"/>
    <w:charset w:val="86"/>
    <w:family w:val="auto"/>
    <w:pitch w:val="default"/>
    <w:sig w:usb0="00000001" w:usb1="08000000" w:usb2="00000000" w:usb3="00000000" w:csb0="00040000" w:csb1="00000000"/>
    <w:embedRegular r:id="rId4" w:fontKey="{D5AE2885-CFF6-4DE3-BCD8-484AB77F02C8}"/>
  </w:font>
  <w:font w:name="仿宋_GB2312">
    <w:altName w:val="仿宋"/>
    <w:panose1 w:val="02010609030101010101"/>
    <w:charset w:val="86"/>
    <w:family w:val="modern"/>
    <w:pitch w:val="default"/>
    <w:sig w:usb0="00000000" w:usb1="00000000" w:usb2="00000010" w:usb3="00000000" w:csb0="00040000" w:csb1="00000000"/>
    <w:embedRegular r:id="rId5" w:fontKey="{A6338CC9-AC15-443A-97D4-B97EBF098AFB}"/>
  </w:font>
  <w:font w:name="CESI仿宋-GB2312">
    <w:altName w:val="仿宋"/>
    <w:panose1 w:val="02000500000000000000"/>
    <w:charset w:val="86"/>
    <w:family w:val="auto"/>
    <w:pitch w:val="default"/>
    <w:sig w:usb0="00000000" w:usb1="00000000" w:usb2="00000010" w:usb3="00000000" w:csb0="0004000F" w:csb1="00000000"/>
    <w:embedRegular r:id="rId6" w:fontKey="{1CEC9FA6-6582-4E31-9BB9-5CAEDA54F632}"/>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456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2026-01-06T03:06:09Z</dcterms:created>
  <dc:creator>Administrator</dc:creator>
  <cp:lastModifiedBy>〰</cp:lastModifiedBy>
  <dcterms:modified xsi:type="dcterms:W3CDTF">2026-01-06T03:06:16Z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eyJoZGlkIjoiZDg0MGU3ODRjYmYxMzU1YTdkNmUyYjBjZmQ0ZmVkMDMiLCJ1c2VySWQiOiI1MDk4NjkzOTcifQ==</vt:lpwstr>
  </property>
  <property fmtid="{D5CDD505-2E9C-101B-9397-08002B2CF9AE}" pid="4" name="ICV">
    <vt:lpwstr>3E22C6ECE33E42958EB17246799B5CB7_12</vt:lpwstr>
  </property>
</Properties>
</file>